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28"/>
          <w:szCs w:val="28"/>
        </w:rPr>
        <w:t xml:space="preserve">KnowItAll Ninja Ltd</w:t>
      </w:r>
    </w:p>
    <w:p>
      <w:pPr>
        <w:spacing w:after="60"/>
      </w:pPr>
      <w:r>
        <w:rPr>
          <w:rFonts w:ascii="Arial" w:cs="Arial" w:eastAsia="Arial" w:hAnsi="Arial"/>
          <w:b/>
          <w:bCs/>
          <w:sz w:val="24"/>
          <w:szCs w:val="24"/>
        </w:rPr>
        <w:t xml:space="preserve">Responses to the ICO Age Appropriate Design Code (Children’s Code)</w:t>
      </w:r>
    </w:p>
    <w:p>
      <w:pPr>
        <w:spacing w:after="200"/>
      </w:pPr>
      <w:r>
        <w:rPr>
          <w:rFonts w:ascii="Arial" w:cs="Arial" w:eastAsia="Arial" w:hAnsi="Arial"/>
          <w:b w:val="false"/>
          <w:bCs w:val="false"/>
          <w:color w:val="555555"/>
          <w:sz w:val="20"/>
          <w:szCs w:val="20"/>
        </w:rPr>
        <w:t xml:space="preserve">Reviewed 15 September 2026. Next review September 2027. Applies to www.knowitallninja.com.</w:t>
      </w:r>
    </w:p>
    <w:p>
      <w:pPr>
        <w:spacing w:after="200"/>
      </w:pPr>
      <w:r>
        <w:rPr>
          <w:rFonts w:ascii="Arial" w:cs="Arial" w:eastAsia="Arial" w:hAnsi="Arial"/>
          <w:b w:val="false"/>
          <w:bCs w:val="false"/>
          <w:sz w:val="20"/>
          <w:szCs w:val="20"/>
        </w:rPr>
        <w:t xml:space="preserve">The Age Appropriate Design Code is a statutory code of practice issued by the Information Commissioner’s Office for online services likely to be accessed by children. KnowItAll Ninja is a revision and homework platform used by students aged 14 to 18 through their school, so the code applies to it in full. This statement sets out how each of the fifteen standards is met. It is published with our privacy policy, Data Processing Agreement and Data Protection Impact Assessment at www.knowitallninja.com/gdpr and is reviewed at least annually and whenever the service changes.</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300"/>
        <w:gridCol w:w="3200"/>
        <w:gridCol w:w="4700"/>
      </w:tblGrid>
      <w:tr>
        <w:trPr>
          <w:tblHeader/>
        </w:trPr>
        <w:tc>
          <w:tcPr>
            <w:tcW w:type="dxa" w:w="2300"/>
            <w:tcBorders>
              <w:top w:val="single" w:color="999999" w:sz="4"/>
              <w:left w:val="single" w:color="999999" w:sz="4"/>
              <w:bottom w:val="single" w:color="999999" w:sz="4"/>
              <w:right w:val="single" w:color="999999" w:sz="4"/>
            </w:tcBorders>
            <w:shd w:fill="E8EEF6" w:color="auto" w:val="clear"/>
          </w:tcPr>
          <w:p>
            <w:pPr>
              <w:spacing w:after="60"/>
            </w:pPr>
            <w:r>
              <w:rPr>
                <w:rFonts w:ascii="Arial" w:cs="Arial" w:eastAsia="Arial" w:hAnsi="Arial"/>
                <w:b/>
                <w:bCs/>
                <w:sz w:val="18"/>
                <w:szCs w:val="18"/>
              </w:rPr>
              <w:t xml:space="preserve">Standard</w:t>
            </w:r>
          </w:p>
        </w:tc>
        <w:tc>
          <w:tcPr>
            <w:tcW w:type="dxa" w:w="3200"/>
            <w:tcBorders>
              <w:top w:val="single" w:color="999999" w:sz="4"/>
              <w:left w:val="single" w:color="999999" w:sz="4"/>
              <w:bottom w:val="single" w:color="999999" w:sz="4"/>
              <w:right w:val="single" w:color="999999" w:sz="4"/>
            </w:tcBorders>
            <w:shd w:fill="E8EEF6" w:color="auto" w:val="clear"/>
          </w:tcPr>
          <w:p>
            <w:pPr>
              <w:spacing w:after="60"/>
            </w:pPr>
            <w:r>
              <w:rPr>
                <w:rFonts w:ascii="Arial" w:cs="Arial" w:eastAsia="Arial" w:hAnsi="Arial"/>
                <w:b/>
                <w:bCs/>
                <w:sz w:val="18"/>
                <w:szCs w:val="18"/>
              </w:rPr>
              <w:t xml:space="preserve">What the code requires</w:t>
            </w:r>
          </w:p>
        </w:tc>
        <w:tc>
          <w:tcPr>
            <w:tcW w:type="dxa" w:w="4700"/>
            <w:tcBorders>
              <w:top w:val="single" w:color="999999" w:sz="4"/>
              <w:left w:val="single" w:color="999999" w:sz="4"/>
              <w:bottom w:val="single" w:color="999999" w:sz="4"/>
              <w:right w:val="single" w:color="999999" w:sz="4"/>
            </w:tcBorders>
            <w:shd w:fill="E8EEF6" w:color="auto" w:val="clear"/>
          </w:tcPr>
          <w:p>
            <w:pPr>
              <w:spacing w:after="60"/>
            </w:pPr>
            <w:r>
              <w:rPr>
                <w:rFonts w:ascii="Arial" w:cs="Arial" w:eastAsia="Arial" w:hAnsi="Arial"/>
                <w:b/>
                <w:bCs/>
                <w:sz w:val="18"/>
                <w:szCs w:val="18"/>
              </w:rPr>
              <w:t xml:space="preserve">How KnowItAll Ninja meets it</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1. Best interests of the child</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Make the best interests of the child a primary consideration when designing and developing the service.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The service exists to help students revise and complete work their teacher has set. We collect only what is needed to give a student access and let their teachers see progress. No advertising is shown in the service, student data is never sold or used for marketing, and the design choices below (leaderboard opt-out, no photos, no geolocation, pseudonymous analytics, placeholder names) are made with the student’s interests first.</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2. Data protection impact assessments</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Carry out a DPIA that assesses and mitigates the risks to children arising from the processing and builds in compliance with the code.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A DPIA has been completed and is reviewed annually (latest review 15 September 2026; next review September 2027). It is published on our GDPR page with this statement and our Data Processing Agreement so that schools can use it in their own assessments. Its risk plan records the issues identified at the 2026 review and their remediation.</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3. Age appropriate application</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Establish age with a level of certainty appropriate to the risks, or apply the standards of the code to all users.</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The service is designed for students aged 14 to 18. Student accounts are created by, or at the direction of, the student’s school, or by a parent or guardian for an individual subscription, so age is established by the school or parent as controller. We apply the standards of the code to all users rather than attempting age verification ourselves, and we do not knowingly create accounts for younger children.</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4. Transparency</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Privacy information must be concise, prominent and in clear language suited to the age of the child, with bite-sized explanations at the point of use.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The privacy policy opens with a plain-language summary and has a section written directly for students (section 5) explaining who can see their progress, how to leave the leaderboard, how to get details corrected or deleted, and what happens when the membership ends. It is linked from every page. Cookie choices are explained in the banner at the point they are made.</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5. Detrimental use of data</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Do not use children’s personal data in ways shown to be detrimental to their wellbeing or that go against industry codes, regulatory provisions or government advice.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Student data is used only to deliver the service and to show progress to the student’s own teachers. No advertising is shown within the service and students are never targeted with marketing. Consent-based website analytics and advertising measurement tools load only after cookie consent and never receive a name or account identifier; suppressing them for logged-in students is recorded in the DPIA risk plan as an improvement under review.</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6. Policies and community standards</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Uphold your own published terms, policies and community standards.</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Our privacy policy, terms, Data Processing Agreement, DPIA and this statement are dated, published on our GDPR page and reviewed at least annually and whenever the site changes.</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7. Default settings</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Settings must be “high privacy” by default unless there is a compelling reason otherwise.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Privacy is high by default. Progress is visible only to the student and their teachers; profile pictures and geolocation are not supported; cookie-based analytics and advertising are off until accepted; product analytics is pseudonymous with session recording switched off. The only optional sharing feature, the class leaderboard, shows a display name and points to classmates only, can be disabled by the school and left by the student at any time.</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8. Data minimisation</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Collect and retain only the minimum personal data needed to provide the elements of the service the child is actively engaged in.</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For a student we hold a name, login, email address and salted password hash (no password for Microsoft or Google sign-in), plus learning progress. Schools that prefer anonymity can use placeholder names. No address, phone number, photograph, date of birth or special category data is collected from students. Accounts and progress are deleted about three months after the school’s membership ends.</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9. Data sharing</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Do not disclose children’s data unless there is a compelling reason to do so, taking account of the child’s best interests.</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Children’s data is never sold and is not disclosed to any third party for that party’s own purposes. It is processed only by the providers that host and run the service under contract (listed in Appendix 2 of our Data Processing Agreement and section 6 of the privacy policy) and is visible only to the student’s own teachers.</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10. Geolocation</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Switch geolocation off by default and make it obvious when location tracking is active.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Geolocation is not used anywhere in the service.</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11. Parental controls</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If parental controls are provided, give the child age-appropriate information about them and make it obvious when they are being monitored.</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The school, or the purchasing parent or guardian for an individual subscription, controls the account. Teachers can see progress, correct details, reset progress and delete accounts, and the student section of the privacy policy tells students this plainly. There are no messaging or social features between students and no covert monitoring.</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12. Profiling</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Switch profiling off by default unless there is a compelling reason and appropriate safeguards are in place.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No profiling of individual students takes place and no automated decisions are made about them. Progress data is shown to the student’s teachers to support learning. Product analytics is pseudonymous (account number, class and role only) and is used to improve lessons, with session recording off. Advertising cookies are consent-based and never receive an identifier.</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13. Nudge techniques</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Do not use nudge techniques to lead children to provide unnecessary data or weaken their privacy protections.</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None are used to encourage students to share data, lower privacy settings or keep using the service. Points, levels and achievements reward completing the work a teacher has set and are not tied to time spent or to sharing data. Leaving the leaderboard is a single link with no confirmation friction, and there are no in-service purchases.</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14. Connected toys and devices</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Ensure connected toys and devices include effective tools to conform to the code.</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Not applicable. The service is a website with no hardware or device component.</w:t>
            </w:r>
          </w:p>
        </w:tc>
      </w:tr>
      <w:tr>
        <w:tc>
          <w:tcPr>
            <w:tcW w:type="dxa" w:w="2300"/>
            <w:tcBorders>
              <w:top w:val="single" w:color="999999" w:sz="4"/>
              <w:left w:val="single" w:color="999999" w:sz="4"/>
              <w:bottom w:val="single" w:color="999999" w:sz="4"/>
              <w:right w:val="single" w:color="999999" w:sz="4"/>
            </w:tcBorders>
          </w:tcPr>
          <w:p>
            <w:pPr>
              <w:spacing w:after="60"/>
            </w:pPr>
            <w:r>
              <w:rPr>
                <w:rFonts w:ascii="Arial" w:cs="Arial" w:eastAsia="Arial" w:hAnsi="Arial"/>
                <w:b/>
                <w:bCs/>
                <w:sz w:val="18"/>
                <w:szCs w:val="18"/>
              </w:rPr>
              <w:t xml:space="preserve">15. Online tools</w:t>
            </w:r>
          </w:p>
        </w:tc>
        <w:tc>
          <w:tcPr>
            <w:tcW w:type="dxa" w:w="32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Provide prominent, accessible tools to help children exercise their data protection rights and report concerns.</w:t>
            </w:r>
          </w:p>
        </w:tc>
        <w:tc>
          <w:tcPr>
            <w:tcW w:type="dxa" w:w="4700"/>
            <w:tcBorders>
              <w:top w:val="single" w:color="999999" w:sz="4"/>
              <w:left w:val="single" w:color="999999" w:sz="4"/>
              <w:bottom w:val="single" w:color="999999" w:sz="4"/>
              <w:right w:val="single" w:color="999999" w:sz="4"/>
            </w:tcBorders>
          </w:tcPr>
          <w:p>
            <w:pPr>
              <w:spacing w:after="60"/>
            </w:pPr>
            <w:r>
              <w:rPr>
                <w:rFonts w:ascii="Arial" w:cs="Arial" w:eastAsia="Arial" w:hAnsi="Arial"/>
                <w:b w:val="false"/>
                <w:bCs w:val="false"/>
                <w:sz w:val="18"/>
                <w:szCs w:val="18"/>
              </w:rPr>
              <w:t xml:space="preserve">Students can change their password, leave or rejoin the leaderboard from the leaderboard page, and see all of their own progress. Requests to correct or delete data go to their teacher, who can act immediately in the class dashboard; anything the school cannot do itself we complete within two working days. Students who contact us directly have their request passed to their school without delay.</w:t>
            </w:r>
          </w:p>
        </w:tc>
      </w:tr>
    </w:tbl>
    <w:p>
      <w:pPr>
        <w:spacing w:after="120"/>
      </w:pPr>
      <w:r>
        <w:rPr>
          <w:rFonts w:ascii="Arial" w:cs="Arial" w:eastAsia="Arial" w:hAnsi="Arial"/>
          <w:b w:val="false"/>
          <w:bCs w:val="false"/>
          <w:sz w:val="20"/>
          <w:szCs w:val="20"/>
        </w:rPr>
        <w:t xml:space="preserve"/>
      </w:r>
    </w:p>
    <w:p>
      <w:pPr>
        <w:spacing w:after="120"/>
      </w:pPr>
      <w:r>
        <w:rPr>
          <w:rFonts w:ascii="Arial" w:cs="Arial" w:eastAsia="Arial" w:hAnsi="Arial"/>
          <w:b w:val="false"/>
          <w:bCs w:val="false"/>
          <w:color w:val="555555"/>
          <w:sz w:val="18"/>
          <w:szCs w:val="18"/>
        </w:rPr>
        <w:t xml:space="preserve">Questions about this statement should be sent to support@knowitallninja.com for the attention of the company director, who is our named data protection contact. KnowItAll Ninja Ltd is registered with the ICO under reference ZB641010.</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2026-09-15T18:40:40.532Z</dcterms:created>
  <dcterms:modified xsi:type="dcterms:W3CDTF">2026-09-15T18:40:40.542Z</dcterms:modified>
</cp:coreProperties>
</file>

<file path=docProps/custom.xml><?xml version="1.0" encoding="utf-8"?>
<Properties xmlns="http://schemas.openxmlformats.org/officeDocument/2006/custom-properties" xmlns:vt="http://schemas.openxmlformats.org/officeDocument/2006/docPropsVTypes"/>
</file>